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</w:rPr>
        <w:drawing>
          <wp:inline distB="0" distT="0" distL="0" distR="0">
            <wp:extent cx="1152525" cy="742950"/>
            <wp:effectExtent b="0" l="0" r="0" t="0"/>
            <wp:docPr descr="https://lh3.googleusercontent.com/iJaCAzoecZvDhbyg_sBAcXJvBCusM3LoCW430Olew4LZa96fGp4-WXzqpxvzIA_F60GwSJeoSMHySP48FDui1q9cpab4_RW_I5klIBAIJllXRHNhaxsgHzidJFPkwlO2AHT0nv-ha6zF430rDwib" id="4" name="image1.png"/>
            <a:graphic>
              <a:graphicData uri="http://schemas.openxmlformats.org/drawingml/2006/picture">
                <pic:pic>
                  <pic:nvPicPr>
                    <pic:cNvPr descr="https://lh3.googleusercontent.com/iJaCAzoecZvDhbyg_sBAcXJvBCusM3LoCW430Olew4LZa96fGp4-WXzqpxvzIA_F60GwSJeoSMHySP48FDui1q9cpab4_RW_I5klIBAIJllXRHNhaxsgHzidJFPkwlO2AHT0nv-ha6zF430rDwib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42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31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000000"/>
          <w:sz w:val="24"/>
          <w:szCs w:val="24"/>
          <w:rtl w:val="0"/>
        </w:rPr>
        <w:t xml:space="preserve">° Olimpíada de Energía y Ambiente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000000"/>
          <w:sz w:val="24"/>
          <w:szCs w:val="24"/>
          <w:rtl w:val="0"/>
        </w:rPr>
        <w:t xml:space="preserve">Temario – Año 202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000000"/>
          <w:sz w:val="24"/>
          <w:szCs w:val="24"/>
          <w:rtl w:val="0"/>
        </w:rPr>
        <w:t xml:space="preserve">Temáticas propuestas: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000000"/>
          <w:sz w:val="24"/>
          <w:szCs w:val="24"/>
          <w:rtl w:val="0"/>
        </w:rPr>
        <w:t xml:space="preserve">Cambio climático: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Acuerdo de París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Inventario Nacional de GEIs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Mitigación y Adaptación al Cambio climático en Argentina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sz w:val="24"/>
          <w:szCs w:val="24"/>
          <w:u w:val="none"/>
        </w:rPr>
      </w:pPr>
      <w:bookmarkStart w:colFirst="0" w:colLast="0" w:name="_heading=h.3kb52ghka8zw" w:id="0"/>
      <w:bookmarkEnd w:id="0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Estrategias a Largo Plazo frente al cambio climático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sz w:val="24"/>
          <w:szCs w:val="24"/>
          <w:u w:val="none"/>
        </w:rPr>
      </w:pPr>
      <w:bookmarkStart w:colFirst="0" w:colLast="0" w:name="_heading=h.pgcszxf96eji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Acción climática en la Región</w:t>
      </w:r>
    </w:p>
    <w:p w:rsidR="00000000" w:rsidDel="00000000" w:rsidP="00000000" w:rsidRDefault="00000000" w:rsidRPr="00000000" w14:paraId="0000000E">
      <w:pPr>
        <w:spacing w:after="24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000000"/>
          <w:sz w:val="24"/>
          <w:szCs w:val="24"/>
          <w:rtl w:val="0"/>
        </w:rPr>
        <w:t xml:space="preserve">Energía: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Transición energética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Fuentes de generación de Energía Eléctrica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Generación y consumo eléctrico nacional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Uso Racional y eficiente de la energía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Energía Nuclear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Hidrógeno verde</w:t>
      </w:r>
    </w:p>
    <w:p w:rsidR="00000000" w:rsidDel="00000000" w:rsidP="00000000" w:rsidRDefault="00000000" w:rsidRPr="00000000" w14:paraId="00000017">
      <w:pPr>
        <w:spacing w:after="24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000000"/>
          <w:sz w:val="24"/>
          <w:szCs w:val="24"/>
          <w:rtl w:val="0"/>
        </w:rPr>
        <w:t xml:space="preserve">Petróleo y Gas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Exploración y explotación offshore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Hidrocarburos no convencionales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Aspectos de seguridad en pozo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Generalidades del petróleo y el gas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 Narrow" w:cs="Arial Narrow" w:eastAsia="Arial Narrow" w:hAnsi="Arial Narrow"/>
          <w:b w:val="1"/>
          <w:bCs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Cambio Climático: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3"/>
        </w:numPr>
        <w:spacing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2023 BID. Acción climática y Acuerdo de París: el rol de las ciudades de América Latina y el Caribe.</w:t>
      </w:r>
    </w:p>
    <w:p w:rsidR="00000000" w:rsidDel="00000000" w:rsidP="00000000" w:rsidRDefault="00000000" w:rsidRPr="00000000" w14:paraId="00000022">
      <w:pPr>
        <w:keepLines w:val="1"/>
        <w:spacing w:line="240" w:lineRule="auto"/>
        <w:ind w:left="0" w:firstLine="72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3"/>
        </w:numPr>
        <w:spacing w:line="240" w:lineRule="auto"/>
        <w:ind w:left="720" w:hanging="360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Acuerdo de París</w:t>
      </w:r>
    </w:p>
    <w:p w:rsidR="00000000" w:rsidDel="00000000" w:rsidP="00000000" w:rsidRDefault="00000000" w:rsidRPr="00000000" w14:paraId="00000024">
      <w:pPr>
        <w:keepLines w:val="1"/>
        <w:spacing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3"/>
        </w:numPr>
        <w:spacing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Inventario Nacional de Gases de Efecto Invernadero del Primer Informe Bienal de Transparencia: Argentina 2024.</w:t>
      </w:r>
    </w:p>
    <w:p w:rsidR="00000000" w:rsidDel="00000000" w:rsidP="00000000" w:rsidRDefault="00000000" w:rsidRPr="00000000" w14:paraId="00000026">
      <w:pPr>
        <w:keepLines w:val="1"/>
        <w:spacing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3"/>
        </w:numPr>
        <w:spacing w:line="240" w:lineRule="auto"/>
        <w:ind w:left="720" w:hanging="360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SSAmb. 2024. Primer Informe Bienal de Transparencia (IBT1) de la República Argentina a la Convención Marco de las Naciones Unidas sobre el Cambio Climático (CMNUCC).</w:t>
      </w:r>
    </w:p>
    <w:p w:rsidR="00000000" w:rsidDel="00000000" w:rsidP="00000000" w:rsidRDefault="00000000" w:rsidRPr="00000000" w14:paraId="00000028">
      <w:pPr>
        <w:keepLines w:val="1"/>
        <w:spacing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Páginas: 121-136; 148-171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3"/>
        </w:numPr>
        <w:spacing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Estrategia de desarrollo resiliente con bajas emisiones a largo plazo a 2050</w:t>
      </w:r>
    </w:p>
    <w:p w:rsidR="00000000" w:rsidDel="00000000" w:rsidP="00000000" w:rsidRDefault="00000000" w:rsidRPr="00000000" w14:paraId="0000002A">
      <w:pPr>
        <w:keepLines w:val="1"/>
        <w:spacing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3"/>
        </w:numPr>
        <w:spacing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Revista Petrotecnia 3-2024</w:t>
      </w:r>
    </w:p>
    <w:p w:rsidR="00000000" w:rsidDel="00000000" w:rsidP="00000000" w:rsidRDefault="00000000" w:rsidRPr="00000000" w14:paraId="0000002C">
      <w:pPr>
        <w:keepLines w:val="1"/>
        <w:spacing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Páginas: 110-126</w:t>
      </w:r>
    </w:p>
    <w:p w:rsidR="00000000" w:rsidDel="00000000" w:rsidP="00000000" w:rsidRDefault="00000000" w:rsidRPr="00000000" w14:paraId="0000002D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 Narrow" w:cs="Arial Narrow" w:eastAsia="Arial Narrow" w:hAnsi="Arial Narrow"/>
          <w:b w:val="1"/>
          <w:bCs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Energía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Fundar 2023. La generación nucleoeléctrica en Argentina y el mundo</w:t>
      </w:r>
    </w:p>
    <w:p w:rsidR="00000000" w:rsidDel="00000000" w:rsidP="00000000" w:rsidRDefault="00000000" w:rsidRPr="00000000" w14:paraId="00000030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31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Resumen Anual CAMMESA 2025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Secretaría de Energía 2025. Informe Trimestral de Coyuntura Energética. Tercer trimestre de 2025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Secretaría de Energía 2025. PyMEs industriales: Buenas prácticas para reducir el consumo de energía</w:t>
      </w:r>
    </w:p>
    <w:p w:rsidR="00000000" w:rsidDel="00000000" w:rsidP="00000000" w:rsidRDefault="00000000" w:rsidRPr="00000000" w14:paraId="00000039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3A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Secretaría de Energía 2025. Residencial industriales: Buenas prácticas para reducir el consumo de energía</w:t>
      </w:r>
    </w:p>
    <w:p w:rsidR="00000000" w:rsidDel="00000000" w:rsidP="00000000" w:rsidRDefault="00000000" w:rsidRPr="00000000" w14:paraId="0000003C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Completo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3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Revista Petrotecnia 2-2025</w:t>
      </w:r>
    </w:p>
    <w:p w:rsidR="00000000" w:rsidDel="00000000" w:rsidP="00000000" w:rsidRDefault="00000000" w:rsidRPr="00000000" w14:paraId="0000003F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Páginas: 30 - 37</w:t>
      </w:r>
    </w:p>
    <w:p w:rsidR="00000000" w:rsidDel="00000000" w:rsidP="00000000" w:rsidRDefault="00000000" w:rsidRPr="00000000" w14:paraId="00000040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Revista El Ojo del Cóndor. 10-02-2024</w:t>
      </w:r>
    </w:p>
    <w:p w:rsidR="00000000" w:rsidDel="00000000" w:rsidP="00000000" w:rsidRDefault="00000000" w:rsidRPr="00000000" w14:paraId="00000042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Páginas: 20-28, 38-49</w:t>
      </w:r>
    </w:p>
    <w:p w:rsidR="00000000" w:rsidDel="00000000" w:rsidP="00000000" w:rsidRDefault="00000000" w:rsidRPr="00000000" w14:paraId="00000043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Petróleo y Gas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5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Revista Petrotecnia 1-2024</w:t>
      </w:r>
    </w:p>
    <w:p w:rsidR="00000000" w:rsidDel="00000000" w:rsidP="00000000" w:rsidRDefault="00000000" w:rsidRPr="00000000" w14:paraId="00000048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Páginas: 77-85</w:t>
      </w:r>
    </w:p>
    <w:p w:rsidR="00000000" w:rsidDel="00000000" w:rsidP="00000000" w:rsidRDefault="00000000" w:rsidRPr="00000000" w14:paraId="00000049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5"/>
        </w:numPr>
        <w:spacing w:after="0" w:line="24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Revista Petrotecnia 2-2025</w:t>
      </w:r>
    </w:p>
    <w:p w:rsidR="00000000" w:rsidDel="00000000" w:rsidP="00000000" w:rsidRDefault="00000000" w:rsidRPr="00000000" w14:paraId="0000004B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Páginas: 38-51</w:t>
      </w:r>
    </w:p>
    <w:p w:rsidR="00000000" w:rsidDel="00000000" w:rsidP="00000000" w:rsidRDefault="00000000" w:rsidRPr="00000000" w14:paraId="0000004C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Revista El Ojo del Cóndor. 10-02-2024</w:t>
      </w:r>
    </w:p>
    <w:p w:rsidR="00000000" w:rsidDel="00000000" w:rsidP="00000000" w:rsidRDefault="00000000" w:rsidRPr="00000000" w14:paraId="0000004F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Páginas: 9-15</w:t>
      </w:r>
    </w:p>
    <w:p w:rsidR="00000000" w:rsidDel="00000000" w:rsidP="00000000" w:rsidRDefault="00000000" w:rsidRPr="00000000" w14:paraId="00000050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IAPG | Aspectos técnicos, estratégicos y económicos de la refinación del petróleo.</w:t>
      </w:r>
    </w:p>
    <w:p w:rsidR="00000000" w:rsidDel="00000000" w:rsidP="00000000" w:rsidRDefault="00000000" w:rsidRPr="00000000" w14:paraId="00000052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Capítulo 1</w:t>
      </w:r>
    </w:p>
    <w:p w:rsidR="00000000" w:rsidDel="00000000" w:rsidP="00000000" w:rsidRDefault="00000000" w:rsidRPr="00000000" w14:paraId="00000053">
      <w:pPr>
        <w:keepLines w:val="1"/>
        <w:spacing w:after="0" w:line="240" w:lineRule="auto"/>
        <w:ind w:left="720" w:firstLine="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BBVA Research. Situación Petróleo y Gas</w:t>
      </w:r>
    </w:p>
    <w:p w:rsidR="00000000" w:rsidDel="00000000" w:rsidP="00000000" w:rsidRDefault="00000000" w:rsidRPr="00000000" w14:paraId="00000055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Páginas 6-34</w:t>
      </w:r>
    </w:p>
    <w:p w:rsidR="00000000" w:rsidDel="00000000" w:rsidP="00000000" w:rsidRDefault="00000000" w:rsidRPr="00000000" w14:paraId="00000056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IAPG. 2011. Aspectos técnicos, económicos y estratégicos de la Exploración y producción de hidrocarburos</w:t>
      </w:r>
    </w:p>
    <w:p w:rsidR="00000000" w:rsidDel="00000000" w:rsidP="00000000" w:rsidRDefault="00000000" w:rsidRPr="00000000" w14:paraId="00000058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Capítulos 2 y 3</w:t>
      </w:r>
    </w:p>
    <w:p w:rsidR="00000000" w:rsidDel="00000000" w:rsidP="00000000" w:rsidRDefault="00000000" w:rsidRPr="00000000" w14:paraId="00000059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sz w:val="24"/>
          <w:szCs w:val="24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IAPG | Aspectos técnicos, estratégicos y económicos del transporte y la distribución de gas.</w:t>
      </w:r>
    </w:p>
    <w:p w:rsidR="00000000" w:rsidDel="00000000" w:rsidP="00000000" w:rsidRDefault="00000000" w:rsidRPr="00000000" w14:paraId="0000005B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Capítulos 1 y 2</w:t>
      </w:r>
    </w:p>
    <w:p w:rsidR="00000000" w:rsidDel="00000000" w:rsidP="00000000" w:rsidRDefault="00000000" w:rsidRPr="00000000" w14:paraId="0000005C">
      <w:pPr>
        <w:spacing w:after="0" w:line="240" w:lineRule="auto"/>
        <w:ind w:left="72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_419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9144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91448"/>
    <w:rPr>
      <w:rFonts w:ascii="Tahoma" w:cs="Tahoma" w:hAnsi="Tahoma"/>
      <w:sz w:val="16"/>
      <w:szCs w:val="16"/>
    </w:rPr>
  </w:style>
  <w:style w:type="paragraph" w:styleId="NormalWeb">
    <w:name w:val="Normal (Web)"/>
    <w:basedOn w:val="Normal"/>
    <w:uiPriority w:val="99"/>
    <w:semiHidden w:val="1"/>
    <w:unhideWhenUsed w:val="1"/>
    <w:rsid w:val="0099144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 w:val="1"/>
    <w:rsid w:val="00255BD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3+jsEuqza92nwbHjbN+1lFfxrQ==">CgMxLjAyDmguM2tiNTJnaGthOHp3Mg5oLnBnY3N6eGY5NmVqaTgAciExMWdxUVIwd2Y4dDVOcjVXR2tJc2ZpYlF6WEhMVjMwYUk=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2023-02-07T16:09:00Z</dcterms:created>
  <dc:creator>Christian Quiroga</dc:creator>
</cp:coreProperties>
</file>